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41" w:rsidRDefault="00D242DC">
      <w:pPr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bookmarkEnd w:id="0"/>
    <w:p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r w:rsidRPr="007B1CB0">
        <w:rPr>
          <w:b/>
          <w:i/>
          <w:iCs/>
          <w:color w:val="000000"/>
          <w:sz w:val="28"/>
          <w:szCs w:val="28"/>
        </w:rPr>
        <w:t>Справочно</w:t>
      </w:r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>Президент Республики Беларусь А.Г.Лукашенко</w:t>
      </w:r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lastRenderedPageBreak/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</w:t>
      </w:r>
      <w:r>
        <w:rPr>
          <w:i/>
          <w:iCs/>
          <w:color w:val="000000"/>
          <w:sz w:val="28"/>
          <w:szCs w:val="28"/>
        </w:rPr>
        <w:lastRenderedPageBreak/>
        <w:t>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Госкомвоенпром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547761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</w:t>
      </w:r>
      <w:r>
        <w:rPr>
          <w:i/>
          <w:color w:val="000000"/>
          <w:sz w:val="28"/>
          <w:szCs w:val="28"/>
        </w:rPr>
        <w:lastRenderedPageBreak/>
        <w:t xml:space="preserve">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2727E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>оспитание, дисциплина» 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4C22E6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«Спецлицей при Университете гражданской защиты МЧС РБ, УО «Спецлицей МВД Республики Беларусь» и УО «Могилевский спецлицей МВД РБ».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Справочно: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А.Г.Лукашенко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Si vis pacem, para bellum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сэ вис пакем пара бэллум</w:t>
      </w:r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фиванцы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D1" w:rsidRDefault="002E0FD1">
      <w:r>
        <w:separator/>
      </w:r>
    </w:p>
  </w:endnote>
  <w:endnote w:type="continuationSeparator" w:id="0">
    <w:p w:rsidR="002E0FD1" w:rsidRDefault="002E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D1" w:rsidRDefault="002E0FD1">
      <w:r>
        <w:separator/>
      </w:r>
    </w:p>
  </w:footnote>
  <w:footnote w:type="continuationSeparator" w:id="0">
    <w:p w:rsidR="002E0FD1" w:rsidRDefault="002E0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53754C"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0FD1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3754C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2026-01-23T07:44:00Z</cp:lastPrinted>
  <dcterms:created xsi:type="dcterms:W3CDTF">2026-02-17T10:48:00Z</dcterms:created>
  <dcterms:modified xsi:type="dcterms:W3CDTF">2026-02-17T10:48:00Z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